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24016BE2"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 xml:space="preserve">MANUAL DEL SISTEMA ESTADISTICO DEL RAMO DE AUTOMOVILES DE POLIZA </w:t>
      </w:r>
      <w:r w:rsidR="00DD221B">
        <w:rPr>
          <w:rFonts w:ascii="Soberana Sans" w:hAnsi="Soberana Sans" w:cs="Georgia"/>
          <w:b/>
          <w:bCs/>
          <w:sz w:val="20"/>
          <w:szCs w:val="20"/>
        </w:rPr>
        <w:t>INDIVIDUAL</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DD221B">
      <w:pPr>
        <w:pStyle w:val="ROMANOS"/>
        <w:spacing w:after="0" w:line="240" w:lineRule="auto"/>
        <w:ind w:hanging="431"/>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0CC37784"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 xml:space="preserve">El Sistema Estadístico del Ramo de Automóviles de Póliza </w:t>
      </w:r>
      <w:r w:rsidR="00DD221B">
        <w:rPr>
          <w:rFonts w:ascii="Soberana Sans" w:hAnsi="Soberana Sans" w:cs="Georgia"/>
          <w:sz w:val="20"/>
          <w:szCs w:val="20"/>
        </w:rPr>
        <w:t>Individual</w:t>
      </w:r>
      <w:r w:rsidRPr="0083173C">
        <w:rPr>
          <w:rFonts w:ascii="Soberana Sans" w:hAnsi="Soberana Sans" w:cs="Georgia"/>
          <w:sz w:val="20"/>
          <w:szCs w:val="20"/>
        </w:rPr>
        <w:t xml:space="preserve"> está conformado por tres archivos de texto a nivel inciso:</w:t>
      </w:r>
    </w:p>
    <w:p w14:paraId="57AD4DB1" w14:textId="1B72F5D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r w:rsidRPr="0083173C">
        <w:rPr>
          <w:rFonts w:ascii="Soberana Sans" w:hAnsi="Soberana Sans" w:cs="Georgia"/>
          <w:sz w:val="20"/>
          <w:szCs w:val="20"/>
        </w:rPr>
        <w:t xml:space="preserve"> </w:t>
      </w:r>
      <w:r w:rsidR="007B19DC" w:rsidRPr="0083173C">
        <w:rPr>
          <w:rFonts w:ascii="Soberana Sans" w:hAnsi="Soberana Sans" w:cs="Georgia"/>
          <w:sz w:val="20"/>
          <w:szCs w:val="20"/>
        </w:rPr>
        <w:t xml:space="preserve">En este archivo se deberán reportar los datos especificados en cada una de las pólizas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529F2050"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 xml:space="preserve">Archivo Plano “Emisión”.- </w:t>
      </w:r>
      <w:r w:rsidRPr="0083173C">
        <w:rPr>
          <w:rFonts w:ascii="Soberana Sans" w:hAnsi="Soberana Sans" w:cs="Georgia"/>
          <w:sz w:val="20"/>
          <w:szCs w:val="20"/>
        </w:rPr>
        <w:t xml:space="preserve">En este archivo se reportarán las pólizas </w:t>
      </w:r>
      <w:r w:rsidR="00AF3CE5">
        <w:rPr>
          <w:rFonts w:ascii="Soberana Sans" w:hAnsi="Soberana Sans" w:cs="Georgia"/>
          <w:sz w:val="20"/>
          <w:szCs w:val="20"/>
        </w:rPr>
        <w:t xml:space="preserve">a nivel cobertura </w:t>
      </w:r>
      <w:r w:rsidRPr="0083173C">
        <w:rPr>
          <w:rFonts w:ascii="Soberana Sans" w:hAnsi="Soberana Sans" w:cs="Georgia"/>
          <w:sz w:val="20"/>
          <w:szCs w:val="20"/>
        </w:rPr>
        <w:t xml:space="preserve">que hayan tenido algún movimiento de emisión dentro del periodo de reporte y/o que estuvieron expuestas </w:t>
      </w:r>
      <w:r w:rsidR="00A12AB9" w:rsidRPr="0083173C">
        <w:rPr>
          <w:rFonts w:ascii="Soberana Sans" w:hAnsi="Soberana Sans" w:cs="Georgia"/>
          <w:sz w:val="20"/>
          <w:szCs w:val="20"/>
        </w:rPr>
        <w:t>al menos un día</w:t>
      </w:r>
      <w:r w:rsidR="00AD45F0">
        <w:rPr>
          <w:rFonts w:ascii="Soberana Sans" w:hAnsi="Soberana Sans" w:cs="Georgia"/>
          <w:sz w:val="20"/>
          <w:szCs w:val="20"/>
        </w:rPr>
        <w:t>, del 1 de enero al 31 de diciembre, en</w:t>
      </w:r>
      <w:r w:rsidR="00A12AB9" w:rsidRPr="0083173C">
        <w:rPr>
          <w:rFonts w:ascii="Soberana Sans" w:hAnsi="Soberana Sans" w:cs="Georgia"/>
          <w:sz w:val="20"/>
          <w:szCs w:val="20"/>
        </w:rPr>
        <w:t xml:space="preserve"> el</w:t>
      </w:r>
      <w:r w:rsidRPr="0083173C">
        <w:rPr>
          <w:rFonts w:ascii="Soberana Sans" w:hAnsi="Soberana Sans" w:cs="Georgia"/>
          <w:sz w:val="20"/>
          <w:szCs w:val="20"/>
        </w:rPr>
        <w:t xml:space="preserve"> año de reporte.</w:t>
      </w:r>
    </w:p>
    <w:p w14:paraId="06CA2786" w14:textId="37C6C856" w:rsidR="00AD45F0" w:rsidRDefault="00AD45F0" w:rsidP="00AD45F0">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cedidas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7A4FF3C1"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E67F"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898D49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A1F8B5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730E86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9F1307"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7327D" w14:textId="532418D5"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717AC"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411F3"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189C4"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AD45F0" w:rsidRPr="003366AD" w14:paraId="5E2BF291"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FA99976"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0498297"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F23B200"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77066FD" w14:textId="77777777" w:rsidR="00AD45F0" w:rsidRPr="00D83B27" w:rsidRDefault="00AD45F0" w:rsidP="00AD45F0">
            <w:pPr>
              <w:spacing w:after="120"/>
              <w:ind w:left="284"/>
              <w:rPr>
                <w:rFonts w:ascii="Soberana Sans" w:hAnsi="Soberana Sans" w:cs="Calibri"/>
                <w:sz w:val="20"/>
                <w:szCs w:val="20"/>
                <w:lang w:eastAsia="es-MX"/>
              </w:rPr>
            </w:pPr>
          </w:p>
        </w:tc>
      </w:tr>
    </w:tbl>
    <w:p w14:paraId="33650298" w14:textId="2B6B4950" w:rsidR="00AD45F0" w:rsidRDefault="00AD45F0" w:rsidP="0084250D">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395FA43F"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8D0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E4065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4D341E6"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3BA52"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7985102"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CD12A" w14:textId="136961C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E0B3"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83089" w14:textId="0E068E2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AB4D5" w14:textId="0422918C"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Cedida</w:t>
            </w:r>
          </w:p>
        </w:tc>
      </w:tr>
      <w:tr w:rsidR="00AD45F0" w:rsidRPr="003366AD" w14:paraId="121BA69F"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968767F"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958F925"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755AD6C2"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EDB3E8" w14:textId="77777777" w:rsidR="00AD45F0" w:rsidRPr="00D83B27" w:rsidRDefault="00AD45F0" w:rsidP="00AD45F0">
            <w:pPr>
              <w:spacing w:after="120"/>
              <w:ind w:left="284"/>
              <w:rPr>
                <w:rFonts w:ascii="Soberana Sans" w:hAnsi="Soberana Sans" w:cs="Calibri"/>
                <w:sz w:val="20"/>
                <w:szCs w:val="20"/>
                <w:lang w:eastAsia="es-MX"/>
              </w:rPr>
            </w:pPr>
          </w:p>
        </w:tc>
      </w:tr>
    </w:tbl>
    <w:p w14:paraId="101BB26A" w14:textId="77777777" w:rsidR="00AD45F0" w:rsidRPr="0083173C" w:rsidRDefault="00AD45F0" w:rsidP="0084250D">
      <w:pPr>
        <w:pStyle w:val="ROMANOS"/>
        <w:spacing w:after="120" w:line="240" w:lineRule="auto"/>
        <w:rPr>
          <w:rFonts w:ascii="Soberana Sans" w:hAnsi="Soberana Sans" w:cs="Georgia"/>
          <w:sz w:val="20"/>
          <w:szCs w:val="20"/>
        </w:rPr>
      </w:pPr>
    </w:p>
    <w:p w14:paraId="1A73953C" w14:textId="4D41EC25"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r w:rsidRPr="0083173C">
        <w:rPr>
          <w:rFonts w:ascii="Soberana Sans" w:hAnsi="Soberana Sans" w:cs="Georgia"/>
          <w:sz w:val="20"/>
          <w:szCs w:val="20"/>
        </w:rPr>
        <w:t xml:space="preserve"> En este archivo se reportarán l</w:t>
      </w:r>
      <w:r w:rsidR="00AF3CE5">
        <w:rPr>
          <w:rFonts w:ascii="Soberana Sans" w:hAnsi="Soberana Sans" w:cs="Georgia"/>
          <w:sz w:val="20"/>
          <w:szCs w:val="20"/>
        </w:rPr>
        <w:t>as pólizas a nivel cobertura</w:t>
      </w:r>
      <w:r w:rsidRPr="0083173C">
        <w:rPr>
          <w:rFonts w:ascii="Soberana Sans" w:hAnsi="Soberana Sans" w:cs="Georgia"/>
          <w:sz w:val="20"/>
          <w:szCs w:val="20"/>
        </w:rPr>
        <w:t xml:space="preserve">,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A1C9140"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733DA7A0" w14:textId="77777777" w:rsidR="00AD45F0" w:rsidRDefault="00AD45F0" w:rsidP="00062577">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A0AC800"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A39B"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2B1DC59"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C5EE19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5F00BACA"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E20B5A4"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78210" w14:textId="724EFBAB"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1775A"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CAD68"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55668"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AD45F0" w:rsidRPr="003366AD" w14:paraId="135C7D4E"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37E51099"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675D67"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F770AF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ED6C32" w14:textId="77777777" w:rsidR="00AD45F0" w:rsidRPr="00D83B27" w:rsidRDefault="00AD45F0" w:rsidP="00AD45F0">
            <w:pPr>
              <w:spacing w:after="120"/>
              <w:ind w:left="284"/>
              <w:rPr>
                <w:rFonts w:ascii="Soberana Sans" w:hAnsi="Soberana Sans" w:cs="Calibri"/>
                <w:sz w:val="20"/>
                <w:szCs w:val="20"/>
                <w:lang w:eastAsia="es-MX"/>
              </w:rPr>
            </w:pPr>
          </w:p>
        </w:tc>
      </w:tr>
    </w:tbl>
    <w:p w14:paraId="4F3129CA" w14:textId="5EB5D7D4" w:rsidR="00AD45F0" w:rsidRDefault="00062577" w:rsidP="00AD45F0">
      <w:pPr>
        <w:pStyle w:val="Texto"/>
        <w:spacing w:after="120" w:line="240" w:lineRule="auto"/>
        <w:ind w:left="709" w:firstLine="0"/>
        <w:rPr>
          <w:rFonts w:ascii="Soberana Sans" w:hAnsi="Soberana Sans" w:cs="Georgia"/>
          <w:sz w:val="20"/>
          <w:szCs w:val="20"/>
        </w:rPr>
      </w:pPr>
      <w:r w:rsidRPr="00062577">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AD45F0" w:rsidRPr="009D7892">
        <w:rPr>
          <w:rFonts w:ascii="Soberana Sans" w:hAnsi="Soberana Sans" w:cs="Georgia"/>
          <w:sz w:val="20"/>
          <w:szCs w:val="20"/>
        </w:rPr>
        <w:t>:</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2CBBB67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524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8431A1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14C3227"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32CE78C"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1D7BBC3B"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4779B"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D56DE"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4928" w14:textId="3FDD3490"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5A73" w14:textId="7085FD54"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AD45F0" w:rsidRPr="003366AD" w14:paraId="5E38107F"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EF0DDBB"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69770E8C"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775F2D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2F2F89B" w14:textId="77777777" w:rsidR="00AD45F0" w:rsidRPr="00D83B27" w:rsidRDefault="00AD45F0" w:rsidP="00AD45F0">
            <w:pPr>
              <w:spacing w:after="120"/>
              <w:ind w:left="284"/>
              <w:rPr>
                <w:rFonts w:ascii="Soberana Sans" w:hAnsi="Soberana Sans" w:cs="Calibri"/>
                <w:sz w:val="20"/>
                <w:szCs w:val="20"/>
                <w:lang w:eastAsia="es-MX"/>
              </w:rPr>
            </w:pPr>
          </w:p>
        </w:tc>
      </w:tr>
    </w:tbl>
    <w:p w14:paraId="077398C5" w14:textId="23E0D4C6"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576324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A0D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3221A7E"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E5F421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7766E6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09C64C"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44F06"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8629D"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BD4D0" w14:textId="65AA588D"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FF6BF" w14:textId="304C2FB3"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AD45F0" w:rsidRPr="003366AD" w14:paraId="47ABBCD8"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008FAF8"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90E02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7F2F1E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E3739A9" w14:textId="77777777" w:rsidR="00AD45F0" w:rsidRPr="00D83B27" w:rsidRDefault="00AD45F0" w:rsidP="00AD45F0">
            <w:pPr>
              <w:spacing w:after="120"/>
              <w:ind w:left="284"/>
              <w:rPr>
                <w:rFonts w:ascii="Soberana Sans" w:hAnsi="Soberana Sans" w:cs="Calibri"/>
                <w:sz w:val="20"/>
                <w:szCs w:val="20"/>
                <w:lang w:eastAsia="es-MX"/>
              </w:rPr>
            </w:pPr>
          </w:p>
        </w:tc>
      </w:tr>
    </w:tbl>
    <w:p w14:paraId="034F7491" w14:textId="77777777"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77F8B06D"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3C9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09337DD"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AD2C5F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300924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4846886D"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54D25"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4E8B"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B1CFD" w14:textId="4BDB372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3DE5D" w14:textId="0C250700"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AD45F0" w:rsidRPr="003366AD" w14:paraId="1B834E2A"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54EC93FD"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2F63B5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B4E1CD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EB54776" w14:textId="77777777" w:rsidR="00AD45F0" w:rsidRPr="00D83B27" w:rsidRDefault="00AD45F0" w:rsidP="00AD45F0">
            <w:pPr>
              <w:spacing w:after="120"/>
              <w:ind w:left="284"/>
              <w:rPr>
                <w:rFonts w:ascii="Soberana Sans" w:hAnsi="Soberana Sans" w:cs="Calibri"/>
                <w:sz w:val="20"/>
                <w:szCs w:val="20"/>
                <w:lang w:eastAsia="es-MX"/>
              </w:rPr>
            </w:pPr>
          </w:p>
        </w:tc>
      </w:tr>
    </w:tbl>
    <w:p w14:paraId="34FD449A" w14:textId="77777777" w:rsidR="00AD45F0" w:rsidRPr="0083173C" w:rsidRDefault="00AD45F0" w:rsidP="0084250D">
      <w:pPr>
        <w:pStyle w:val="ROMANOS"/>
        <w:spacing w:after="120" w:line="240" w:lineRule="auto"/>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49489749"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as variables </w:t>
      </w:r>
      <w:r w:rsidR="00A26139" w:rsidRPr="0083173C">
        <w:rPr>
          <w:rFonts w:ascii="Soberana Sans" w:hAnsi="Soberana Sans" w:cs="Georgia"/>
          <w:sz w:val="20"/>
          <w:szCs w:val="20"/>
        </w:rPr>
        <w:t>prima</w:t>
      </w:r>
      <w:r w:rsidR="007F02CF">
        <w:rPr>
          <w:rFonts w:ascii="Soberana Sans" w:hAnsi="Soberana Sans" w:cs="Georgia"/>
          <w:sz w:val="20"/>
          <w:szCs w:val="20"/>
        </w:rPr>
        <w:t>s</w:t>
      </w:r>
      <w:r w:rsidR="00A26139" w:rsidRPr="0083173C">
        <w:rPr>
          <w:rFonts w:ascii="Soberana Sans" w:hAnsi="Soberana Sans" w:cs="Georgia"/>
          <w:sz w:val="20"/>
          <w:szCs w:val="20"/>
        </w:rPr>
        <w:t xml:space="preserve"> emitida, prima cedida, prima devengada</w:t>
      </w:r>
      <w:r w:rsidR="007F02CF">
        <w:rPr>
          <w:rFonts w:ascii="Soberana Sans" w:hAnsi="Soberana Sans" w:cs="Georgia"/>
          <w:sz w:val="20"/>
          <w:szCs w:val="20"/>
        </w:rPr>
        <w:t>, prima devengada acumulada</w:t>
      </w:r>
      <w:r w:rsidR="001A384D">
        <w:rPr>
          <w:rFonts w:ascii="Soberana Sans" w:hAnsi="Soberana Sans" w:cs="Georgia"/>
          <w:sz w:val="20"/>
          <w:szCs w:val="20"/>
        </w:rPr>
        <w:t>, comisión directa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 xml:space="preserve">decimales </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0ED7F2B8" w:rsidR="00FD6ECB"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 xml:space="preserve">la clave de otros deberán indicar en su escrito de aclaraciones el desglose de los conceptos </w:t>
      </w:r>
      <w:r w:rsidRPr="0083173C">
        <w:rPr>
          <w:rFonts w:ascii="Soberana Sans" w:hAnsi="Soberana Sans" w:cs="Georgia"/>
          <w:sz w:val="20"/>
          <w:szCs w:val="20"/>
        </w:rPr>
        <w:lastRenderedPageBreak/>
        <w:t>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0D8724AC" w14:textId="7C603128" w:rsidR="00062577" w:rsidRPr="0083173C" w:rsidRDefault="0006257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r w:rsidRPr="00062577">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6D6E49BB" w14:textId="474416AA"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0DE1F1D6"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23930BE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5EF1D48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2151DEF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346E558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018E5C4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04D4B096" w:rsidR="00502867"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63BA3390" w:rsidR="00502867" w:rsidRPr="0083173C" w:rsidRDefault="00DD221B" w:rsidP="00223440">
            <w:pPr>
              <w:pStyle w:val="Texto"/>
              <w:spacing w:before="30" w:after="40" w:line="240" w:lineRule="auto"/>
              <w:ind w:firstLine="0"/>
              <w:jc w:val="center"/>
              <w:rPr>
                <w:rFonts w:ascii="Soberana Sans" w:hAnsi="Soberana Sans" w:cs="Georgia"/>
                <w:sz w:val="20"/>
                <w:szCs w:val="20"/>
                <w:lang w:val="en-US"/>
              </w:rPr>
            </w:pPr>
            <w:r>
              <w:rPr>
                <w:rFonts w:ascii="Soberana Sans" w:hAnsi="Soberana Sans" w:cs="Georgia"/>
                <w:sz w:val="20"/>
                <w:szCs w:val="20"/>
                <w:lang w:val="en-US"/>
              </w:rPr>
              <w:t>9</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65994123"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0EF3DC71"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4983784C"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5A613EBE"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1763D618" w:rsidR="003D217C"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1977BD0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54D8CF18"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F9F816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0A65751D"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529DAE72"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DD221B"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0ABFEF5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6795A159"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46733E7A"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3AE6C79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F6D9E34"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lang w:val="en-US"/>
              </w:rPr>
              <w:t>9</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479E904A" w:rsidR="00DD221B" w:rsidRPr="0083173C" w:rsidRDefault="002E72A3"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w:t>
            </w:r>
            <w:r w:rsidR="001A384D">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554FC10B"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1C2B6C8"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377F802B" w:rsidR="00CD151C" w:rsidRPr="0083173C" w:rsidRDefault="00CD151C" w:rsidP="00DD221B">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lastRenderedPageBreak/>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DD221B"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2E81FC39"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19AF8C84"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0074131D"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DD221B"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306A6033"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DD221B"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2465F9F1"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DD221B" w:rsidRPr="0083173C" w:rsidRDefault="00DD221B"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Entidad/Municipio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16.2</w:t>
            </w:r>
          </w:p>
        </w:tc>
      </w:tr>
      <w:tr w:rsidR="00DD221B"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62756105"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DD221B"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4A33B576"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DD221B"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81383C"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359FB15F"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lang w:val="en-US"/>
              </w:rPr>
              <w:t>9</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08D6DEC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0</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B2376B2"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42CD5BB4"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568160A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DD221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2089B29B"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DD221B" w:rsidRPr="0083173C" w:rsidRDefault="00DD221B" w:rsidP="00FD6ECB">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624" w:type="dxa"/>
            <w:tcBorders>
              <w:top w:val="single" w:sz="6" w:space="0" w:color="auto"/>
              <w:left w:val="single" w:sz="6" w:space="0" w:color="auto"/>
              <w:bottom w:val="single" w:sz="6" w:space="0" w:color="auto"/>
              <w:right w:val="single" w:sz="6" w:space="0" w:color="auto"/>
            </w:tcBorders>
          </w:tcPr>
          <w:p w14:paraId="4124749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DD221B"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5408B0D9"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DD221B"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6BFBC6C8"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1259FAEB" w:rsidR="004A379F" w:rsidRPr="0083173C" w:rsidRDefault="00DD221B" w:rsidP="004A379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1A264C03"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7BE68A1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w:t>
      </w:r>
      <w:r w:rsidR="006E03E7">
        <w:rPr>
          <w:rFonts w:ascii="Soberana Sans" w:hAnsi="Soberana Sans"/>
          <w:b/>
          <w:sz w:val="20"/>
          <w:szCs w:val="20"/>
        </w:rPr>
        <w:t>I</w:t>
      </w:r>
      <w:r w:rsidR="007F5A47" w:rsidRPr="0083173C">
        <w:rPr>
          <w:rFonts w:ascii="Soberana Sans" w:hAnsi="Soberana Sans"/>
          <w:b/>
          <w:sz w:val="20"/>
          <w:szCs w:val="20"/>
        </w:rPr>
        <w:t>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08C5F9BE" w14:textId="741B676A"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DD221B">
      <w:pPr>
        <w:pStyle w:val="Texto"/>
        <w:tabs>
          <w:tab w:val="left" w:pos="993"/>
        </w:tabs>
        <w:spacing w:after="0" w:line="240" w:lineRule="auto"/>
        <w:ind w:left="567" w:hanging="425"/>
        <w:rPr>
          <w:rFonts w:ascii="Soberana Sans" w:hAnsi="Soberana Sans" w:cs="Georgia"/>
          <w:sz w:val="20"/>
          <w:szCs w:val="20"/>
        </w:rPr>
      </w:pPr>
    </w:p>
    <w:p w14:paraId="5492A76F" w14:textId="2A37A248"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07F37777"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41987DC4"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w:t>
      </w:r>
      <w:r w:rsidR="00502867" w:rsidRPr="0083173C">
        <w:rPr>
          <w:rFonts w:ascii="Soberana Sans" w:hAnsi="Soberana Sans" w:cs="Georgia"/>
          <w:sz w:val="20"/>
          <w:szCs w:val="20"/>
        </w:rPr>
        <w:lastRenderedPageBreak/>
        <w:t>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b/>
          <w:bCs/>
          <w:sz w:val="20"/>
          <w:szCs w:val="20"/>
        </w:rPr>
      </w:pPr>
    </w:p>
    <w:p w14:paraId="6BFB215F" w14:textId="1437C4AF"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24635FEB" w14:textId="0598F003"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4B2D749D"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4D2B2F">
        <w:rPr>
          <w:rFonts w:ascii="Soberana Sans" w:hAnsi="Soberana Sans" w:cs="Georgia"/>
          <w:sz w:val="20"/>
          <w:szCs w:val="20"/>
        </w:rPr>
        <w:t xml:space="preserve"> </w:t>
      </w:r>
      <w:r w:rsidR="00502867" w:rsidRPr="0083173C">
        <w:rPr>
          <w:rFonts w:ascii="Soberana Sans" w:hAnsi="Soberana Sans" w:cs="Georgia"/>
          <w:b/>
          <w:bCs/>
          <w:sz w:val="20"/>
          <w:szCs w:val="20"/>
        </w:rPr>
        <w:t>Forma de venta:</w:t>
      </w:r>
      <w:r w:rsidR="00502867"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794F9229"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4D2B2F">
        <w:rPr>
          <w:rFonts w:ascii="Soberana Sans" w:hAnsi="Soberana Sans" w:cs="Georgia"/>
          <w:b/>
          <w:bCs/>
          <w:sz w:val="20"/>
          <w:szCs w:val="20"/>
        </w:rPr>
        <w:t xml:space="preserve">.- </w:t>
      </w:r>
      <w:r w:rsidR="00502867" w:rsidRPr="0083173C">
        <w:rPr>
          <w:rFonts w:ascii="Soberana Sans" w:hAnsi="Soberana Sans" w:cs="Georgia"/>
          <w:b/>
          <w:bCs/>
          <w:sz w:val="20"/>
          <w:szCs w:val="20"/>
        </w:rPr>
        <w:t xml:space="preserve">Marca tipo: </w:t>
      </w:r>
      <w:r w:rsidR="00502867"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00502867"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00502867" w:rsidRPr="0083173C">
        <w:rPr>
          <w:rFonts w:ascii="Soberana Sans" w:hAnsi="Soberana Sans" w:cs="Georgia"/>
          <w:sz w:val="20"/>
          <w:szCs w:val="20"/>
        </w:rPr>
        <w:t>.</w:t>
      </w:r>
    </w:p>
    <w:p w14:paraId="073A9BFF" w14:textId="3114F9D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9232F6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5B58CE0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02B2CA58"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1DA60482"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de acuerdo al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el subtipo de seguro que corresponda al negocio asegurado, ya sea microseguro,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4A3ED7EB"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5</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48980EC6" w:rsidR="003D217C" w:rsidRDefault="004D2B2F" w:rsidP="00AF3CE5">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6</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de acuerdo al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215436B4" w14:textId="114AB628"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37ED4BA4" w:rsidR="00502867" w:rsidRPr="0083173C" w:rsidRDefault="00502867" w:rsidP="006E03E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EC10579" w14:textId="250F22B7"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156AE35A"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715650D5" w:rsidR="00502867" w:rsidRPr="0083173C" w:rsidRDefault="006E03E7"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lastRenderedPageBreak/>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695415FB" w14:textId="77777777" w:rsidR="00502867" w:rsidRPr="0083173C" w:rsidRDefault="00502867" w:rsidP="004D2B2F">
      <w:pPr>
        <w:pStyle w:val="Texto"/>
        <w:tabs>
          <w:tab w:val="left" w:pos="142"/>
        </w:tabs>
        <w:spacing w:after="0" w:line="240" w:lineRule="auto"/>
        <w:ind w:left="567" w:hanging="425"/>
        <w:rPr>
          <w:rFonts w:ascii="Soberana Sans" w:hAnsi="Soberana Sans" w:cs="Georgia"/>
          <w:sz w:val="20"/>
          <w:szCs w:val="20"/>
        </w:rPr>
      </w:pPr>
    </w:p>
    <w:p w14:paraId="59DC2FD9" w14:textId="06C1A7C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4D2B2F">
      <w:pPr>
        <w:pStyle w:val="Texto"/>
        <w:tabs>
          <w:tab w:val="left" w:pos="142"/>
        </w:tabs>
        <w:spacing w:before="120"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reporte,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3EB3D529"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70E3298A" w14:textId="019FC4FD" w:rsidR="00502867" w:rsidRPr="0083173C" w:rsidRDefault="006E03E7" w:rsidP="00584C06">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r w:rsidR="00502867" w:rsidRPr="0083173C">
        <w:rPr>
          <w:rFonts w:ascii="Soberana Sans" w:hAnsi="Soberana Sans" w:cs="Georgia"/>
          <w:sz w:val="20"/>
          <w:szCs w:val="20"/>
        </w:rPr>
        <w:tab/>
      </w:r>
    </w:p>
    <w:p w14:paraId="55BD9030" w14:textId="1189423E"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devengada:</w:t>
      </w:r>
      <w:r w:rsidR="00502867" w:rsidRPr="0083173C">
        <w:rPr>
          <w:rFonts w:ascii="Soberana Sans" w:hAnsi="Soberana Sans" w:cs="Georgia"/>
          <w:sz w:val="20"/>
          <w:szCs w:val="20"/>
        </w:rPr>
        <w:t xml:space="preserve"> Se debe reportar la parte proporcional de la prima emitida que corresponde al periodo de exposición.</w:t>
      </w:r>
      <w:r w:rsidR="007F02CF">
        <w:rPr>
          <w:rFonts w:ascii="Soberana Sans" w:hAnsi="Soberana Sans" w:cs="Georgia"/>
          <w:sz w:val="20"/>
          <w:szCs w:val="20"/>
        </w:rPr>
        <w:t xml:space="preserve">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6451616B" w14:textId="1E1A6DF0"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7F02CF">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102E45EB" w14:textId="77777777" w:rsidR="00062577"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p>
    <w:p w14:paraId="799F8DA7" w14:textId="5A3D0CDB" w:rsidR="00502867" w:rsidRPr="0083173C" w:rsidRDefault="00062577" w:rsidP="004D2B2F">
      <w:pPr>
        <w:pStyle w:val="Texto"/>
        <w:tabs>
          <w:tab w:val="left" w:pos="142"/>
          <w:tab w:val="left" w:pos="1134"/>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4D2B2F">
        <w:rPr>
          <w:rFonts w:ascii="Soberana Sans" w:hAnsi="Soberana Sans" w:cs="Georgia"/>
          <w:sz w:val="20"/>
          <w:szCs w:val="20"/>
        </w:rPr>
        <w:tab/>
      </w:r>
      <w:r w:rsidR="00502867" w:rsidRPr="0083173C">
        <w:rPr>
          <w:rFonts w:ascii="Soberana Sans" w:hAnsi="Soberana Sans" w:cs="Georgia"/>
          <w:sz w:val="20"/>
          <w:szCs w:val="20"/>
        </w:rPr>
        <w:t>Dp</w:t>
      </w:r>
    </w:p>
    <w:p w14:paraId="790A2C9C" w14:textId="77777777" w:rsidR="00502867" w:rsidRPr="0083173C" w:rsidRDefault="00502867" w:rsidP="00062577">
      <w:pPr>
        <w:pStyle w:val="Texto"/>
        <w:tabs>
          <w:tab w:val="left" w:pos="142"/>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062577">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Dv</w:t>
      </w:r>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0EA98B88" w:rsidR="00502867" w:rsidRPr="0083173C" w:rsidRDefault="00502867" w:rsidP="002E72A3">
      <w:pPr>
        <w:pStyle w:val="Texto"/>
        <w:tabs>
          <w:tab w:val="left" w:pos="142"/>
        </w:tabs>
        <w:spacing w:before="120" w:after="0" w:line="240" w:lineRule="auto"/>
        <w:ind w:left="1134" w:hanging="567"/>
        <w:rPr>
          <w:rFonts w:ascii="Soberana Sans" w:hAnsi="Soberana Sans" w:cs="Georgia"/>
          <w:sz w:val="20"/>
          <w:szCs w:val="20"/>
        </w:rPr>
      </w:pPr>
      <w:r w:rsidRPr="0083173C">
        <w:rPr>
          <w:rFonts w:ascii="Soberana Sans" w:hAnsi="Soberana Sans" w:cs="Georgia"/>
          <w:sz w:val="20"/>
          <w:szCs w:val="20"/>
        </w:rPr>
        <w:t xml:space="preserve">Dp = </w:t>
      </w:r>
      <w:r w:rsidR="002E72A3">
        <w:rPr>
          <w:rFonts w:ascii="Soberana Sans" w:hAnsi="Soberana Sans" w:cs="Georgia"/>
          <w:sz w:val="20"/>
          <w:szCs w:val="20"/>
        </w:rPr>
        <w:tab/>
      </w:r>
      <w:r w:rsidR="002E72A3" w:rsidRPr="002E72A3">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83173C">
        <w:rPr>
          <w:rFonts w:ascii="Soberana Sans" w:hAnsi="Soberana Sans" w:cs="Georgia"/>
          <w:sz w:val="20"/>
          <w:szCs w:val="20"/>
        </w:rPr>
        <w:t>.</w:t>
      </w:r>
    </w:p>
    <w:p w14:paraId="5D37AE70" w14:textId="512BE775"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 xml:space="preserve">Dv =Número de días de vigencia de la </w:t>
      </w:r>
      <w:r w:rsidR="00B32977">
        <w:rPr>
          <w:rFonts w:ascii="Soberana Sans" w:hAnsi="Soberana Sans" w:cs="Georgia"/>
          <w:bCs/>
          <w:sz w:val="20"/>
          <w:szCs w:val="20"/>
        </w:rPr>
        <w:t>póliza y/o endoso</w:t>
      </w:r>
      <w:r w:rsidRPr="0083173C">
        <w:rPr>
          <w:rFonts w:ascii="Soberana Sans" w:hAnsi="Soberana Sans" w:cs="Georgia"/>
          <w:sz w:val="20"/>
          <w:szCs w:val="20"/>
        </w:rPr>
        <w:t>.</w:t>
      </w:r>
    </w:p>
    <w:p w14:paraId="24EC52B4" w14:textId="72FAB6C7" w:rsidR="00502867" w:rsidRPr="0083173C" w:rsidRDefault="00502867" w:rsidP="00584C06">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Prima emitida, incluye emisión de cualquier año y que se encuentre vigente en el periodo</w:t>
      </w:r>
      <w:r w:rsidR="007F02CF">
        <w:rPr>
          <w:rFonts w:ascii="Soberana Sans" w:hAnsi="Soberana Sans" w:cs="Georgia"/>
          <w:sz w:val="20"/>
          <w:szCs w:val="20"/>
        </w:rPr>
        <w:t xml:space="preserve"> </w:t>
      </w:r>
      <w:r w:rsidRPr="0083173C">
        <w:rPr>
          <w:rFonts w:ascii="Soberana Sans" w:hAnsi="Soberana Sans" w:cs="Georgia"/>
          <w:sz w:val="20"/>
          <w:szCs w:val="20"/>
        </w:rPr>
        <w:t>reportado (incluye pólizas multi-anuales).</w:t>
      </w:r>
      <w:r w:rsidRPr="0083173C">
        <w:rPr>
          <w:rFonts w:ascii="Soberana Sans" w:hAnsi="Soberana Sans" w:cs="Georgia"/>
          <w:sz w:val="20"/>
          <w:szCs w:val="20"/>
        </w:rPr>
        <w:tab/>
      </w:r>
    </w:p>
    <w:p w14:paraId="192D8E66" w14:textId="7FAD71B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Comisión directa:</w:t>
      </w:r>
      <w:r w:rsidR="00502867"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w:t>
      </w:r>
      <w:r w:rsidR="00502867" w:rsidRPr="0083173C">
        <w:rPr>
          <w:rFonts w:ascii="Soberana Sans" w:hAnsi="Soberana Sans" w:cs="Georgia"/>
          <w:sz w:val="20"/>
          <w:szCs w:val="20"/>
        </w:rPr>
        <w:lastRenderedPageBreak/>
        <w:t>de esta variable se efectuará independientemente de que la póliza o endoso ya hayan sido pagados o estén pendientes de pago.</w:t>
      </w:r>
    </w:p>
    <w:p w14:paraId="03BC8BB7" w14:textId="1A13344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61BBF522"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0C7CF0D6"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w:t>
      </w:r>
      <w:r w:rsidR="006E03E7">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4920DAF2" w14:textId="1BEE1DE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7F02CF">
        <w:rPr>
          <w:rFonts w:ascii="Soberana Sans" w:hAnsi="Soberana Sans" w:cs="Georgia"/>
          <w:bCs/>
          <w:sz w:val="20"/>
          <w:szCs w:val="20"/>
        </w:rPr>
        <w:t xml:space="preserve"> la 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3D838F48"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r w:rsidRPr="003B47EF">
        <w:rPr>
          <w:rFonts w:ascii="Soberana Sans" w:hAnsi="Soberana Sans" w:cs="Georgia"/>
          <w:bCs/>
          <w:sz w:val="20"/>
          <w:szCs w:val="20"/>
        </w:rPr>
        <w:t xml:space="preserve">Dp = </w:t>
      </w:r>
      <w:r w:rsidR="006B185A" w:rsidRPr="006B185A">
        <w:rPr>
          <w:rFonts w:ascii="Soberana Sans" w:hAnsi="Soberana Sans" w:cs="Georgia"/>
          <w:bCs/>
          <w:sz w:val="20"/>
          <w:szCs w:val="20"/>
        </w:rPr>
        <w:t>Número de días transcurridos desde la fecha de inicio de vigencia</w:t>
      </w:r>
      <w:r w:rsidR="002E72A3">
        <w:rPr>
          <w:rFonts w:ascii="Soberana Sans" w:hAnsi="Soberana Sans" w:cs="Georgia"/>
          <w:bCs/>
          <w:sz w:val="20"/>
          <w:szCs w:val="20"/>
        </w:rPr>
        <w:t xml:space="preserve"> del endoso</w:t>
      </w:r>
      <w:r w:rsidR="006B185A" w:rsidRPr="006B185A">
        <w:rPr>
          <w:rFonts w:ascii="Soberana Sans" w:hAnsi="Soberana Sans" w:cs="Georgia"/>
          <w:bCs/>
          <w:sz w:val="20"/>
          <w:szCs w:val="20"/>
        </w:rPr>
        <w:t xml:space="preserve"> a la fecha del cierre del ejercicio o al fin de vigencia si este es menor a la fecha de cierre del ejercicio</w:t>
      </w:r>
      <w:r w:rsidRPr="003B47EF">
        <w:rPr>
          <w:rFonts w:ascii="Soberana Sans" w:hAnsi="Soberana Sans" w:cs="Georgia"/>
          <w:bCs/>
          <w:sz w:val="20"/>
          <w:szCs w:val="20"/>
        </w:rPr>
        <w:t>.</w:t>
      </w:r>
    </w:p>
    <w:p w14:paraId="327BE14E" w14:textId="48988859"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Dv =Número de días de vigencia de</w:t>
      </w:r>
      <w:r w:rsidR="00B32977">
        <w:rPr>
          <w:rFonts w:ascii="Soberana Sans" w:hAnsi="Soberana Sans" w:cs="Georgia"/>
          <w:bCs/>
          <w:sz w:val="20"/>
          <w:szCs w:val="20"/>
        </w:rPr>
        <w:t xml:space="preserve"> la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730150A1" w14:textId="77777777" w:rsidR="00062577" w:rsidRPr="0083173C" w:rsidRDefault="00062577" w:rsidP="002A7E37">
      <w:pPr>
        <w:pStyle w:val="Texto"/>
        <w:spacing w:before="120" w:after="0" w:line="240" w:lineRule="auto"/>
        <w:ind w:firstLine="0"/>
        <w:jc w:val="center"/>
        <w:rPr>
          <w:rFonts w:ascii="Soberana Sans" w:hAnsi="Soberana Sans" w:cs="Georgia"/>
          <w:b/>
          <w:bCs/>
          <w:sz w:val="20"/>
          <w:szCs w:val="20"/>
        </w:rPr>
      </w:pPr>
    </w:p>
    <w:p w14:paraId="0F2E8836"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3. “SINIESTROS”</w:t>
      </w:r>
    </w:p>
    <w:p w14:paraId="072C29E1" w14:textId="504CC145"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3B132E8" w14:textId="3C73EFCC"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6E03E7">
        <w:rPr>
          <w:rFonts w:ascii="Soberana Sans" w:hAnsi="Soberana Sans" w:cs="Georgia"/>
          <w:b/>
          <w:bCs/>
          <w:sz w:val="20"/>
          <w:szCs w:val="20"/>
        </w:rPr>
        <w:tab/>
      </w:r>
      <w:r w:rsidR="00502867" w:rsidRPr="0083173C">
        <w:rPr>
          <w:rFonts w:ascii="Soberana Sans" w:hAnsi="Soberana Sans" w:cs="Georgia"/>
          <w:b/>
          <w:bCs/>
          <w:sz w:val="20"/>
          <w:szCs w:val="20"/>
        </w:rPr>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488FA1C3"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2BD12942"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AD45F0">
        <w:trPr>
          <w:cantSplit/>
          <w:trHeight w:val="270"/>
          <w:jc w:val="center"/>
        </w:trPr>
        <w:tc>
          <w:tcPr>
            <w:tcW w:w="340" w:type="dxa"/>
          </w:tcPr>
          <w:p w14:paraId="25F3555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lastRenderedPageBreak/>
              <w:t>a</w:t>
            </w:r>
          </w:p>
        </w:tc>
        <w:tc>
          <w:tcPr>
            <w:tcW w:w="340" w:type="dxa"/>
          </w:tcPr>
          <w:p w14:paraId="031E676B"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5AB146B2"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5C51A670" w14:textId="1E10CF49" w:rsidR="009C4191" w:rsidRPr="0083173C" w:rsidRDefault="009C4191" w:rsidP="007F02CF">
      <w:pPr>
        <w:pStyle w:val="Texto"/>
        <w:tabs>
          <w:tab w:val="left" w:pos="567"/>
        </w:tabs>
        <w:spacing w:before="120" w:after="120" w:line="240" w:lineRule="auto"/>
        <w:ind w:left="567" w:firstLine="0"/>
        <w:rPr>
          <w:rFonts w:ascii="Soberana Sans" w:hAnsi="Soberana Sans" w:cs="Georgia"/>
          <w:sz w:val="20"/>
          <w:szCs w:val="20"/>
        </w:rPr>
      </w:pPr>
      <w:r>
        <w:rPr>
          <w:rFonts w:ascii="Soberana Sans" w:hAnsi="Soberana Sans" w:cs="Georgia"/>
          <w:sz w:val="20"/>
          <w:szCs w:val="20"/>
        </w:rPr>
        <w:t>En el caso de que la cobertura sea “otros”</w:t>
      </w:r>
      <w:r w:rsidR="007F02CF">
        <w:rPr>
          <w:rFonts w:ascii="Soberana Sans" w:hAnsi="Soberana Sans" w:cs="Georgia"/>
          <w:sz w:val="20"/>
          <w:szCs w:val="20"/>
        </w:rPr>
        <w:t>,</w:t>
      </w:r>
      <w:r>
        <w:rPr>
          <w:rFonts w:ascii="Soberana Sans" w:hAnsi="Soberana Sans" w:cs="Georgia"/>
          <w:sz w:val="20"/>
          <w:szCs w:val="20"/>
        </w:rPr>
        <w:t xml:space="preserve"> se reportará la fecha de la primera cobertura reclamada.</w:t>
      </w:r>
    </w:p>
    <w:p w14:paraId="64AFAEAD" w14:textId="394EDC61"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5D7C216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087F8C2"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A7143E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0687C60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pagado: </w:t>
      </w:r>
      <w:r w:rsidR="00502867" w:rsidRPr="0083173C">
        <w:rPr>
          <w:rFonts w:ascii="Soberana Sans" w:hAnsi="Soberana Sans" w:cs="Georgia"/>
          <w:sz w:val="20"/>
          <w:szCs w:val="20"/>
        </w:rPr>
        <w:t>Registrar el monto pagado al asegurado por concepto del siniestro, neto de deducible, durante el periodo de reporte.</w:t>
      </w:r>
    </w:p>
    <w:p w14:paraId="6764A65B" w14:textId="2C0853F4"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3F88BE0"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6E03E7">
        <w:rPr>
          <w:rFonts w:ascii="Soberana Sans" w:hAnsi="Soberana Sans" w:cs="Georgia"/>
          <w:b/>
          <w:bCs/>
          <w:sz w:val="20"/>
          <w:szCs w:val="20"/>
          <w:lang w:val="es-MX"/>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del siniestro generados por la atención del mismo, inclusive para los casos de siniestros improcedentes</w:t>
      </w:r>
      <w:r w:rsidRPr="0083173C">
        <w:rPr>
          <w:rFonts w:ascii="Soberana Sans" w:hAnsi="Soberana Sans" w:cs="Georgia"/>
          <w:sz w:val="20"/>
          <w:szCs w:val="20"/>
          <w:lang w:val="es-MX"/>
        </w:rPr>
        <w:t>.</w:t>
      </w:r>
    </w:p>
    <w:p w14:paraId="3B292FF0" w14:textId="228C3B3A"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4E28B3D9"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AD45F0">
        <w:trPr>
          <w:cantSplit/>
          <w:trHeight w:val="270"/>
          <w:jc w:val="center"/>
        </w:trPr>
        <w:tc>
          <w:tcPr>
            <w:tcW w:w="340" w:type="dxa"/>
          </w:tcPr>
          <w:p w14:paraId="6679A3A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2BCE5EE2" w:rsidR="00D50C93" w:rsidRPr="0083173C"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038CDCA5" w14:textId="4CF4F5E5" w:rsidR="00CA5110" w:rsidRDefault="00BE7A7F" w:rsidP="00944611">
      <w:pPr>
        <w:pStyle w:val="Texto"/>
        <w:tabs>
          <w:tab w:val="left" w:pos="567"/>
          <w:tab w:val="left" w:pos="851"/>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5</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42001828" w:rsidR="00CA5110" w:rsidRDefault="00BB6E5E" w:rsidP="00944611">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944611">
      <w:pPr>
        <w:pStyle w:val="Texto"/>
        <w:tabs>
          <w:tab w:val="left" w:pos="567"/>
          <w:tab w:val="left" w:pos="851"/>
        </w:tabs>
        <w:spacing w:before="120"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AD45F0">
        <w:trPr>
          <w:cantSplit/>
          <w:trHeight w:val="270"/>
          <w:jc w:val="center"/>
        </w:trPr>
        <w:tc>
          <w:tcPr>
            <w:tcW w:w="340" w:type="dxa"/>
          </w:tcPr>
          <w:p w14:paraId="3BE938F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7DBC1CF6"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lastRenderedPageBreak/>
        <w:tab/>
      </w:r>
      <w:r w:rsidR="00CA5110">
        <w:rPr>
          <w:rFonts w:ascii="Soberana Sans" w:hAnsi="Soberana Sans" w:cs="Georgia"/>
          <w:sz w:val="20"/>
          <w:szCs w:val="20"/>
        </w:rPr>
        <w:t>En el caso que el siniestro afecte varias coberturas, se capturará la fecha en que la cobertura fue contabilizada.</w:t>
      </w:r>
    </w:p>
    <w:p w14:paraId="34AFFA49" w14:textId="05ECEE3A" w:rsidR="00D46AC8" w:rsidRDefault="00D46AC8" w:rsidP="009764D2">
      <w:pPr>
        <w:pStyle w:val="Texto"/>
        <w:tabs>
          <w:tab w:val="left" w:pos="567"/>
        </w:tabs>
        <w:spacing w:after="120" w:line="240" w:lineRule="auto"/>
        <w:ind w:left="567" w:firstLine="0"/>
        <w:rPr>
          <w:rFonts w:ascii="Soberana Sans" w:hAnsi="Soberana Sans" w:cs="Georgia"/>
          <w:b/>
          <w:bCs/>
          <w:sz w:val="20"/>
          <w:szCs w:val="20"/>
        </w:rPr>
      </w:pPr>
      <w:r>
        <w:rPr>
          <w:rFonts w:ascii="Soberana Sans" w:hAnsi="Soberana Sans" w:cs="Georgia"/>
          <w:sz w:val="20"/>
          <w:szCs w:val="20"/>
        </w:rPr>
        <w:t xml:space="preserve">En el caso de </w:t>
      </w:r>
      <w:r w:rsidR="009764D2">
        <w:rPr>
          <w:rFonts w:ascii="Soberana Sans" w:hAnsi="Soberana Sans" w:cs="Georgia"/>
          <w:sz w:val="20"/>
          <w:szCs w:val="20"/>
        </w:rPr>
        <w:t>que la cobertura sea “otros”</w:t>
      </w:r>
      <w:r w:rsidR="007F02CF">
        <w:rPr>
          <w:rFonts w:ascii="Soberana Sans" w:hAnsi="Soberana Sans" w:cs="Georgia"/>
          <w:sz w:val="20"/>
          <w:szCs w:val="20"/>
        </w:rPr>
        <w:t>,</w:t>
      </w:r>
      <w:r w:rsidR="009764D2">
        <w:rPr>
          <w:rFonts w:ascii="Soberana Sans" w:hAnsi="Soberana Sans" w:cs="Georgia"/>
          <w:sz w:val="20"/>
          <w:szCs w:val="20"/>
        </w:rPr>
        <w:t xml:space="preserve"> se reportará la fecha de la primer</w:t>
      </w:r>
      <w:r w:rsidR="00444BF3">
        <w:rPr>
          <w:rFonts w:ascii="Soberana Sans" w:hAnsi="Soberana Sans" w:cs="Georgia"/>
          <w:sz w:val="20"/>
          <w:szCs w:val="20"/>
        </w:rPr>
        <w:t>a</w:t>
      </w:r>
      <w:r w:rsidR="009764D2">
        <w:rPr>
          <w:rFonts w:ascii="Soberana Sans" w:hAnsi="Soberana Sans" w:cs="Georgia"/>
          <w:sz w:val="20"/>
          <w:szCs w:val="20"/>
        </w:rPr>
        <w:t xml:space="preserve"> cobertura contabilizada.</w:t>
      </w:r>
    </w:p>
    <w:p w14:paraId="099C9C51" w14:textId="0C187CF6"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58257F9B" w14:textId="6E3CDD2C"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6E03E7">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871E" w14:textId="77777777" w:rsidR="00F229AF" w:rsidRDefault="00F229AF" w:rsidP="00502867">
      <w:r>
        <w:separator/>
      </w:r>
    </w:p>
  </w:endnote>
  <w:endnote w:type="continuationSeparator" w:id="0">
    <w:p w14:paraId="2CA7B8D2" w14:textId="77777777" w:rsidR="00F229AF" w:rsidRDefault="00F229AF"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5E80" w14:textId="77777777" w:rsidR="00F229AF" w:rsidRDefault="00F229AF" w:rsidP="00502867">
      <w:r>
        <w:separator/>
      </w:r>
    </w:p>
  </w:footnote>
  <w:footnote w:type="continuationSeparator" w:id="0">
    <w:p w14:paraId="30DB8B21" w14:textId="77777777" w:rsidR="00F229AF" w:rsidRDefault="00F229AF" w:rsidP="00502867">
      <w:r>
        <w:continuationSeparator/>
      </w:r>
    </w:p>
  </w:footnote>
  <w:footnote w:id="1">
    <w:p w14:paraId="04A7AC1B" w14:textId="77777777" w:rsidR="00AD45F0" w:rsidRPr="00687CFD" w:rsidRDefault="00AD45F0"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AD45F0" w:rsidRDefault="00AD45F0"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AD45F0" w:rsidRDefault="00AD45F0" w:rsidP="00502867">
      <w:pPr>
        <w:pStyle w:val="Texto"/>
        <w:spacing w:after="0" w:line="240" w:lineRule="auto"/>
        <w:ind w:firstLine="0"/>
        <w:rPr>
          <w:rFonts w:cs="Times New Roman"/>
        </w:rPr>
      </w:pPr>
    </w:p>
  </w:footnote>
  <w:footnote w:id="3">
    <w:p w14:paraId="0754D0DC" w14:textId="77777777" w:rsidR="00AD45F0" w:rsidRDefault="00AD45F0"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67"/>
    <w:rsid w:val="00016A9B"/>
    <w:rsid w:val="0003659F"/>
    <w:rsid w:val="00037DC6"/>
    <w:rsid w:val="0004066C"/>
    <w:rsid w:val="00050071"/>
    <w:rsid w:val="00062577"/>
    <w:rsid w:val="00073C40"/>
    <w:rsid w:val="000A1A80"/>
    <w:rsid w:val="000B5210"/>
    <w:rsid w:val="000F6717"/>
    <w:rsid w:val="001323A9"/>
    <w:rsid w:val="001353BF"/>
    <w:rsid w:val="00154AB2"/>
    <w:rsid w:val="001820BE"/>
    <w:rsid w:val="00195D57"/>
    <w:rsid w:val="001A384D"/>
    <w:rsid w:val="001C0F39"/>
    <w:rsid w:val="001C718A"/>
    <w:rsid w:val="001D0A77"/>
    <w:rsid w:val="00223440"/>
    <w:rsid w:val="00263FF1"/>
    <w:rsid w:val="002818AE"/>
    <w:rsid w:val="00282566"/>
    <w:rsid w:val="00287821"/>
    <w:rsid w:val="002A7E37"/>
    <w:rsid w:val="002C0612"/>
    <w:rsid w:val="002C688E"/>
    <w:rsid w:val="002E72A3"/>
    <w:rsid w:val="002F1228"/>
    <w:rsid w:val="003409FF"/>
    <w:rsid w:val="00353BAC"/>
    <w:rsid w:val="00362F07"/>
    <w:rsid w:val="00372D79"/>
    <w:rsid w:val="003B53A3"/>
    <w:rsid w:val="003D217C"/>
    <w:rsid w:val="00444BF3"/>
    <w:rsid w:val="00446938"/>
    <w:rsid w:val="00467683"/>
    <w:rsid w:val="004A379F"/>
    <w:rsid w:val="004C1BA6"/>
    <w:rsid w:val="004C29DE"/>
    <w:rsid w:val="004D2B2F"/>
    <w:rsid w:val="004D641E"/>
    <w:rsid w:val="004F555D"/>
    <w:rsid w:val="00502867"/>
    <w:rsid w:val="00557F86"/>
    <w:rsid w:val="00561739"/>
    <w:rsid w:val="005658AD"/>
    <w:rsid w:val="00581CEC"/>
    <w:rsid w:val="00584C06"/>
    <w:rsid w:val="00591CF5"/>
    <w:rsid w:val="005938C1"/>
    <w:rsid w:val="005A65C5"/>
    <w:rsid w:val="005E7216"/>
    <w:rsid w:val="0060433F"/>
    <w:rsid w:val="0060759F"/>
    <w:rsid w:val="00620A45"/>
    <w:rsid w:val="00621EC7"/>
    <w:rsid w:val="006B185A"/>
    <w:rsid w:val="006B75E8"/>
    <w:rsid w:val="006D32CE"/>
    <w:rsid w:val="006E03E7"/>
    <w:rsid w:val="006E1300"/>
    <w:rsid w:val="0070364F"/>
    <w:rsid w:val="00774177"/>
    <w:rsid w:val="007A452A"/>
    <w:rsid w:val="007B19DC"/>
    <w:rsid w:val="007D43CB"/>
    <w:rsid w:val="007E1E34"/>
    <w:rsid w:val="007F02CF"/>
    <w:rsid w:val="007F5A47"/>
    <w:rsid w:val="0083173C"/>
    <w:rsid w:val="0084250D"/>
    <w:rsid w:val="008865AA"/>
    <w:rsid w:val="0089552F"/>
    <w:rsid w:val="008D08BF"/>
    <w:rsid w:val="008D67CF"/>
    <w:rsid w:val="008E4080"/>
    <w:rsid w:val="008E4916"/>
    <w:rsid w:val="00906B07"/>
    <w:rsid w:val="00922F97"/>
    <w:rsid w:val="00932C02"/>
    <w:rsid w:val="00933B42"/>
    <w:rsid w:val="009421EB"/>
    <w:rsid w:val="00944611"/>
    <w:rsid w:val="00945550"/>
    <w:rsid w:val="009764D2"/>
    <w:rsid w:val="00993F29"/>
    <w:rsid w:val="00994202"/>
    <w:rsid w:val="009C4191"/>
    <w:rsid w:val="00A02EE0"/>
    <w:rsid w:val="00A12AB9"/>
    <w:rsid w:val="00A26139"/>
    <w:rsid w:val="00A32714"/>
    <w:rsid w:val="00A7166B"/>
    <w:rsid w:val="00AB09B3"/>
    <w:rsid w:val="00AC2DE5"/>
    <w:rsid w:val="00AC3E1F"/>
    <w:rsid w:val="00AD45F0"/>
    <w:rsid w:val="00AD6AC7"/>
    <w:rsid w:val="00AF3CE5"/>
    <w:rsid w:val="00B04B1F"/>
    <w:rsid w:val="00B32977"/>
    <w:rsid w:val="00B46983"/>
    <w:rsid w:val="00B47F98"/>
    <w:rsid w:val="00B6583A"/>
    <w:rsid w:val="00B66CEB"/>
    <w:rsid w:val="00B8071F"/>
    <w:rsid w:val="00B869A2"/>
    <w:rsid w:val="00BA1B6A"/>
    <w:rsid w:val="00BA4E64"/>
    <w:rsid w:val="00BB6E5E"/>
    <w:rsid w:val="00BC34BE"/>
    <w:rsid w:val="00BE7A7F"/>
    <w:rsid w:val="00C07400"/>
    <w:rsid w:val="00C21941"/>
    <w:rsid w:val="00C27E84"/>
    <w:rsid w:val="00C32707"/>
    <w:rsid w:val="00C56722"/>
    <w:rsid w:val="00C61F1B"/>
    <w:rsid w:val="00C70FB1"/>
    <w:rsid w:val="00C7146D"/>
    <w:rsid w:val="00C9362B"/>
    <w:rsid w:val="00C96970"/>
    <w:rsid w:val="00CA02F6"/>
    <w:rsid w:val="00CA5110"/>
    <w:rsid w:val="00CD151C"/>
    <w:rsid w:val="00CD54DC"/>
    <w:rsid w:val="00CF0F1F"/>
    <w:rsid w:val="00D01142"/>
    <w:rsid w:val="00D24D91"/>
    <w:rsid w:val="00D3331E"/>
    <w:rsid w:val="00D46AC8"/>
    <w:rsid w:val="00D50C93"/>
    <w:rsid w:val="00D52CE9"/>
    <w:rsid w:val="00D90432"/>
    <w:rsid w:val="00DD221B"/>
    <w:rsid w:val="00DE7D2B"/>
    <w:rsid w:val="00DF0C08"/>
    <w:rsid w:val="00E060C4"/>
    <w:rsid w:val="00E42853"/>
    <w:rsid w:val="00EA1EC5"/>
    <w:rsid w:val="00EA46F2"/>
    <w:rsid w:val="00EF238A"/>
    <w:rsid w:val="00EF57F5"/>
    <w:rsid w:val="00F229AF"/>
    <w:rsid w:val="00F45CC5"/>
    <w:rsid w:val="00F46ACE"/>
    <w:rsid w:val="00F5585D"/>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C557D827-768F-4A77-9FE3-7671256D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ZUWP26PT267V-208-724</_dlc_DocId>
    <_dlc_DocIdUrl xmlns="fbb82a6a-a961-4754-99c6-5e8b59674839">
      <Url>https://www.cnsf.gob.mx/Sistemas/_layouts/15/DocIdRedir.aspx?ID=ZUWP26PT267V-208-724</Url>
      <Description>ZUWP26PT267V-208-724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AFDF579-3EA0-4E83-BF94-D7035ECBF49B}"/>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041B9902-E444-42F6-A80F-2CAC26C832B1}"/>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Template>
  <TotalTime>49</TotalTime>
  <Pages>9</Pages>
  <Words>3210</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Toshiba</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27</cp:revision>
  <dcterms:created xsi:type="dcterms:W3CDTF">2020-11-18T07:45:00Z</dcterms:created>
  <dcterms:modified xsi:type="dcterms:W3CDTF">2024-12-05T06:09:00Z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e536bd46-d52c-4827-994a-9a0c54d4caa5</vt:lpwstr>
  </property>
</Properties>
</file>